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E742" w14:textId="77777777" w:rsidR="007B59FB" w:rsidRDefault="007B59FB" w:rsidP="007B59F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Title_2"/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1512AAC4" w14:textId="77777777" w:rsidR="007B59FB" w:rsidRPr="005F570F" w:rsidRDefault="007B59FB" w:rsidP="007B59F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082DE83D" w14:textId="77777777" w:rsidR="007B59FB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64332720" w14:textId="77777777" w:rsidR="007B59FB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0F4F5" w14:textId="77777777" w:rsidR="007B59FB" w:rsidRPr="00180841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r w:rsidRPr="00180841">
        <w:rPr>
          <w:rFonts w:ascii="Times New Roman" w:hAnsi="Times New Roman" w:cs="Times New Roman"/>
          <w:b/>
          <w:bCs/>
          <w:color w:val="FF0000"/>
          <w:sz w:val="20"/>
          <w:szCs w:val="18"/>
        </w:rPr>
        <w:t>(BU ALAN ZORUNLUDUR)</w:t>
      </w:r>
    </w:p>
    <w:p w14:paraId="1D7217EC" w14:textId="77777777" w:rsidR="007B59FB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0C8610" w14:textId="77777777" w:rsidR="007B59FB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7FD8AC" w14:textId="77777777" w:rsidR="007B59FB" w:rsidRPr="00695DDE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18"/>
        </w:rPr>
        <w:t>KATILIM SAĞLAMAK İSTEDİĞİNİZ KONGRE ADINI BELİRTİNİZ</w:t>
      </w:r>
    </w:p>
    <w:p w14:paraId="57A8158D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…………………………………..</w:t>
      </w:r>
      <w:proofErr w:type="gramEnd"/>
    </w:p>
    <w:p w14:paraId="664F9E9B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49F17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6302" w:type="dxa"/>
        <w:tblInd w:w="-601" w:type="dxa"/>
        <w:tblLook w:val="04A0" w:firstRow="1" w:lastRow="0" w:firstColumn="1" w:lastColumn="0" w:noHBand="0" w:noVBand="1"/>
      </w:tblPr>
      <w:tblGrid>
        <w:gridCol w:w="1831"/>
        <w:gridCol w:w="1783"/>
        <w:gridCol w:w="351"/>
        <w:gridCol w:w="1734"/>
        <w:gridCol w:w="2319"/>
        <w:gridCol w:w="1259"/>
        <w:gridCol w:w="2234"/>
        <w:gridCol w:w="1635"/>
        <w:gridCol w:w="1502"/>
        <w:gridCol w:w="1654"/>
      </w:tblGrid>
      <w:tr w:rsidR="007B59FB" w:rsidRPr="00A94CF6" w14:paraId="10577DA2" w14:textId="77777777" w:rsidTr="00797A7A">
        <w:trPr>
          <w:trHeight w:val="858"/>
        </w:trPr>
        <w:tc>
          <w:tcPr>
            <w:tcW w:w="1831" w:type="dxa"/>
            <w:vAlign w:val="center"/>
          </w:tcPr>
          <w:p w14:paraId="55D7F5B8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İLDİRİ BAŞLIĞI / TÜRKÇE</w:t>
            </w:r>
          </w:p>
        </w:tc>
        <w:tc>
          <w:tcPr>
            <w:tcW w:w="1783" w:type="dxa"/>
            <w:vAlign w:val="center"/>
          </w:tcPr>
          <w:p w14:paraId="58FA6ECE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BİLDİRİ BAŞLIĞI</w:t>
            </w:r>
          </w:p>
          <w:p w14:paraId="1A79C24F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İNGİLİZCE</w:t>
            </w:r>
          </w:p>
        </w:tc>
        <w:tc>
          <w:tcPr>
            <w:tcW w:w="2085" w:type="dxa"/>
            <w:gridSpan w:val="2"/>
            <w:vAlign w:val="center"/>
          </w:tcPr>
          <w:p w14:paraId="4C2012A3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ÜNVAN, İSİM ve SOYİSİM</w:t>
            </w:r>
          </w:p>
        </w:tc>
        <w:tc>
          <w:tcPr>
            <w:tcW w:w="2319" w:type="dxa"/>
            <w:vAlign w:val="center"/>
          </w:tcPr>
          <w:p w14:paraId="0577CB10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(KURUM BİLGİSİ)</w:t>
            </w:r>
          </w:p>
          <w:p w14:paraId="5FB5E21A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ÜNİVERSİTE, FAKÜLTE, BÖLÜM</w:t>
            </w:r>
          </w:p>
        </w:tc>
        <w:tc>
          <w:tcPr>
            <w:tcW w:w="1259" w:type="dxa"/>
            <w:vAlign w:val="center"/>
          </w:tcPr>
          <w:p w14:paraId="5FAFEF9D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ÇALIŞTIĞI ALAN</w:t>
            </w:r>
          </w:p>
        </w:tc>
        <w:tc>
          <w:tcPr>
            <w:tcW w:w="2234" w:type="dxa"/>
            <w:vAlign w:val="center"/>
          </w:tcPr>
          <w:p w14:paraId="7B8830A6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E-MAİL ADRESİ</w:t>
            </w:r>
          </w:p>
        </w:tc>
        <w:tc>
          <w:tcPr>
            <w:tcW w:w="1635" w:type="dxa"/>
            <w:vAlign w:val="center"/>
          </w:tcPr>
          <w:p w14:paraId="32BF4F9C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CEP NUMARASI</w:t>
            </w:r>
          </w:p>
        </w:tc>
        <w:tc>
          <w:tcPr>
            <w:tcW w:w="1502" w:type="dxa"/>
            <w:vAlign w:val="center"/>
          </w:tcPr>
          <w:p w14:paraId="705DDE86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ŞEHİR VE ÜLKE</w:t>
            </w:r>
          </w:p>
        </w:tc>
        <w:tc>
          <w:tcPr>
            <w:tcW w:w="1654" w:type="dxa"/>
            <w:vAlign w:val="center"/>
          </w:tcPr>
          <w:p w14:paraId="5C2EA620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YAZARIN</w:t>
            </w:r>
          </w:p>
          <w:p w14:paraId="04A805C0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ORCID ID</w:t>
            </w:r>
          </w:p>
          <w:p w14:paraId="3CF14E59" w14:textId="77777777" w:rsidR="007B59FB" w:rsidRPr="00A94CF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NUMARASI</w:t>
            </w:r>
          </w:p>
        </w:tc>
      </w:tr>
      <w:tr w:rsidR="007B59FB" w:rsidRPr="00A94CF6" w14:paraId="5AA1058A" w14:textId="77777777" w:rsidTr="00797A7A">
        <w:trPr>
          <w:trHeight w:val="438"/>
        </w:trPr>
        <w:tc>
          <w:tcPr>
            <w:tcW w:w="1831" w:type="dxa"/>
            <w:vMerge w:val="restart"/>
            <w:vAlign w:val="center"/>
          </w:tcPr>
          <w:p w14:paraId="077B666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HİDROKORTİZON OVER NEKROZUNU VE ENFLAMASYONU AZALTARAK TRANSPLANTE EDİLMİŞ RAT OVER HİSTOMORFOLOJİSİNİ İYİLEŞTİREBİLİR</w:t>
            </w:r>
          </w:p>
        </w:tc>
        <w:tc>
          <w:tcPr>
            <w:tcW w:w="1783" w:type="dxa"/>
            <w:vMerge w:val="restart"/>
            <w:vAlign w:val="center"/>
          </w:tcPr>
          <w:p w14:paraId="241439E3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HYDROCORTISONE CAN IMPROVE THE HISTOMORPHOLOGY OF TRANSPLATED RAT OVARIES THROUGH REDUCING OVARIAN NECROSIS AND INFLAMMATION</w:t>
            </w:r>
          </w:p>
        </w:tc>
        <w:tc>
          <w:tcPr>
            <w:tcW w:w="351" w:type="dxa"/>
            <w:vAlign w:val="center"/>
          </w:tcPr>
          <w:p w14:paraId="36FD8358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34" w:type="dxa"/>
            <w:vAlign w:val="center"/>
          </w:tcPr>
          <w:p w14:paraId="36A4A48E" w14:textId="5EF7AD0F" w:rsidR="007B59FB" w:rsidRPr="00592482" w:rsidRDefault="007B59FB" w:rsidP="00DE6F93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Dr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.</w:t>
            </w: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,</w:t>
            </w:r>
            <w:proofErr w:type="gram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Merve KIDIRYÜZ</w:t>
            </w:r>
          </w:p>
        </w:tc>
        <w:tc>
          <w:tcPr>
            <w:tcW w:w="2319" w:type="dxa"/>
            <w:vAlign w:val="center"/>
          </w:tcPr>
          <w:p w14:paraId="6549B06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Sağlık Bilimleri Üniversitesi, Hamidiye Uluslararası Tıp Fakültesi, Histoloji ve Embriyoloji Anabilim Dalı, İstanbul, Türkiye</w:t>
            </w:r>
          </w:p>
        </w:tc>
        <w:tc>
          <w:tcPr>
            <w:tcW w:w="1259" w:type="dxa"/>
            <w:vAlign w:val="center"/>
          </w:tcPr>
          <w:p w14:paraId="570150E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Histoloji ve Embriyoloji</w:t>
            </w:r>
          </w:p>
        </w:tc>
        <w:tc>
          <w:tcPr>
            <w:tcW w:w="2234" w:type="dxa"/>
            <w:vAlign w:val="center"/>
          </w:tcPr>
          <w:p w14:paraId="688AC1C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izdascon@gmail.com</w:t>
            </w:r>
          </w:p>
        </w:tc>
        <w:tc>
          <w:tcPr>
            <w:tcW w:w="1635" w:type="dxa"/>
            <w:vAlign w:val="center"/>
          </w:tcPr>
          <w:p w14:paraId="2E38F12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5987E9F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İ</w:t>
            </w: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stanbul,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ürkiye</w:t>
            </w:r>
          </w:p>
        </w:tc>
        <w:tc>
          <w:tcPr>
            <w:tcW w:w="1654" w:type="dxa"/>
            <w:vAlign w:val="center"/>
          </w:tcPr>
          <w:p w14:paraId="4E27742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A94CF6" w14:paraId="17A02FC4" w14:textId="77777777" w:rsidTr="00797A7A">
        <w:trPr>
          <w:trHeight w:val="416"/>
        </w:trPr>
        <w:tc>
          <w:tcPr>
            <w:tcW w:w="1831" w:type="dxa"/>
            <w:vMerge/>
            <w:vAlign w:val="center"/>
          </w:tcPr>
          <w:p w14:paraId="6E5E707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380EB18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26BD1F0C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34" w:type="dxa"/>
            <w:vAlign w:val="center"/>
          </w:tcPr>
          <w:p w14:paraId="405CE022" w14:textId="26EC8642" w:rsidR="007B59FB" w:rsidRPr="00AE0C96" w:rsidRDefault="007B59FB" w:rsidP="00DE6F93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Doç. Dr.</w:t>
            </w: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Samet KUŞKIRAN</w:t>
            </w:r>
          </w:p>
        </w:tc>
        <w:tc>
          <w:tcPr>
            <w:tcW w:w="2319" w:type="dxa"/>
            <w:vAlign w:val="center"/>
          </w:tcPr>
          <w:p w14:paraId="460F4AD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Sağlık Bilimleri Üniversitesi, Hamidiye Tıp Fakültesi, Histoloji ve Embriyoloji Anabilim Dalı, İstanbul, Türkiye</w:t>
            </w:r>
          </w:p>
        </w:tc>
        <w:tc>
          <w:tcPr>
            <w:tcW w:w="1259" w:type="dxa"/>
            <w:vAlign w:val="center"/>
          </w:tcPr>
          <w:p w14:paraId="53B7402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Histoloji ve Embriyoloji</w:t>
            </w:r>
          </w:p>
        </w:tc>
        <w:tc>
          <w:tcPr>
            <w:tcW w:w="2234" w:type="dxa"/>
            <w:vAlign w:val="center"/>
          </w:tcPr>
          <w:p w14:paraId="3824B910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pariskongresi@gmail.com</w:t>
            </w:r>
          </w:p>
        </w:tc>
        <w:tc>
          <w:tcPr>
            <w:tcW w:w="1635" w:type="dxa"/>
            <w:vAlign w:val="center"/>
          </w:tcPr>
          <w:p w14:paraId="73DC6AA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69F5AD8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İ</w:t>
            </w:r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stanbul,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ürkiye</w:t>
            </w:r>
          </w:p>
        </w:tc>
        <w:tc>
          <w:tcPr>
            <w:tcW w:w="1654" w:type="dxa"/>
            <w:vAlign w:val="center"/>
          </w:tcPr>
          <w:p w14:paraId="110F6B9D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A94CF6" w14:paraId="26CB4EFB" w14:textId="77777777" w:rsidTr="00797A7A">
        <w:trPr>
          <w:trHeight w:val="662"/>
        </w:trPr>
        <w:tc>
          <w:tcPr>
            <w:tcW w:w="1831" w:type="dxa"/>
            <w:vMerge/>
            <w:vAlign w:val="center"/>
          </w:tcPr>
          <w:p w14:paraId="775541D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1CCC254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5EBE1F8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34" w:type="dxa"/>
            <w:vAlign w:val="center"/>
          </w:tcPr>
          <w:p w14:paraId="3ECC73FB" w14:textId="1F52DC79" w:rsidR="007B59FB" w:rsidRPr="00AE0C96" w:rsidRDefault="007B59FB" w:rsidP="00DE6F93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Prof. Dr.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Atabek MEVLANA</w:t>
            </w:r>
          </w:p>
        </w:tc>
        <w:tc>
          <w:tcPr>
            <w:tcW w:w="2319" w:type="dxa"/>
            <w:vAlign w:val="center"/>
          </w:tcPr>
          <w:p w14:paraId="448A3A4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Üniversitesi, Tıp Fakültesi, Klinik Bilimler Bölümü,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, Birleşik Arap Emirlikleri</w:t>
            </w:r>
          </w:p>
        </w:tc>
        <w:tc>
          <w:tcPr>
            <w:tcW w:w="1259" w:type="dxa"/>
            <w:vAlign w:val="center"/>
          </w:tcPr>
          <w:p w14:paraId="05EA845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Klinik Bilimler</w:t>
            </w:r>
          </w:p>
        </w:tc>
        <w:tc>
          <w:tcPr>
            <w:tcW w:w="2234" w:type="dxa"/>
            <w:vAlign w:val="center"/>
          </w:tcPr>
          <w:p w14:paraId="10E2FF0E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contact@blackseacountries.org</w:t>
            </w:r>
          </w:p>
        </w:tc>
        <w:tc>
          <w:tcPr>
            <w:tcW w:w="1635" w:type="dxa"/>
            <w:vAlign w:val="center"/>
          </w:tcPr>
          <w:p w14:paraId="6F5F7794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02" w:type="dxa"/>
            <w:vAlign w:val="center"/>
          </w:tcPr>
          <w:p w14:paraId="3C7B4B2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, Birleşik Arap Emirlikleri</w:t>
            </w:r>
          </w:p>
        </w:tc>
        <w:tc>
          <w:tcPr>
            <w:tcW w:w="1654" w:type="dxa"/>
            <w:vAlign w:val="center"/>
          </w:tcPr>
          <w:p w14:paraId="60FEB74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A94CF6" w14:paraId="1C167E46" w14:textId="77777777" w:rsidTr="00797A7A">
        <w:trPr>
          <w:trHeight w:val="415"/>
        </w:trPr>
        <w:tc>
          <w:tcPr>
            <w:tcW w:w="1831" w:type="dxa"/>
            <w:vMerge/>
            <w:vAlign w:val="center"/>
          </w:tcPr>
          <w:p w14:paraId="60A1C1A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388E4483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44E71534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34" w:type="dxa"/>
            <w:vAlign w:val="center"/>
          </w:tcPr>
          <w:p w14:paraId="70254DE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9" w:type="dxa"/>
            <w:vAlign w:val="center"/>
          </w:tcPr>
          <w:p w14:paraId="622A3A8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091371DC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34" w:type="dxa"/>
            <w:vAlign w:val="center"/>
          </w:tcPr>
          <w:p w14:paraId="4A03B63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5" w:type="dxa"/>
            <w:vAlign w:val="center"/>
          </w:tcPr>
          <w:p w14:paraId="0B72967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02" w:type="dxa"/>
            <w:vAlign w:val="center"/>
          </w:tcPr>
          <w:p w14:paraId="4603A42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  <w:vAlign w:val="center"/>
          </w:tcPr>
          <w:p w14:paraId="14BC6FB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B59FB" w:rsidRPr="00A94CF6" w14:paraId="251D06AC" w14:textId="77777777" w:rsidTr="00797A7A">
        <w:trPr>
          <w:trHeight w:val="420"/>
        </w:trPr>
        <w:tc>
          <w:tcPr>
            <w:tcW w:w="1831" w:type="dxa"/>
            <w:vMerge/>
            <w:vAlign w:val="center"/>
          </w:tcPr>
          <w:p w14:paraId="25F6FF2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3" w:type="dxa"/>
            <w:vMerge/>
            <w:vAlign w:val="center"/>
          </w:tcPr>
          <w:p w14:paraId="0FA725B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" w:type="dxa"/>
            <w:vAlign w:val="center"/>
          </w:tcPr>
          <w:p w14:paraId="1A5F310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734" w:type="dxa"/>
            <w:vAlign w:val="center"/>
          </w:tcPr>
          <w:p w14:paraId="50E7C46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19" w:type="dxa"/>
            <w:vAlign w:val="center"/>
          </w:tcPr>
          <w:p w14:paraId="6667C4B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35F1A97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34" w:type="dxa"/>
            <w:vAlign w:val="center"/>
          </w:tcPr>
          <w:p w14:paraId="130035E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5" w:type="dxa"/>
            <w:vAlign w:val="center"/>
          </w:tcPr>
          <w:p w14:paraId="0A2053F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02" w:type="dxa"/>
            <w:vAlign w:val="center"/>
          </w:tcPr>
          <w:p w14:paraId="15428A18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  <w:vAlign w:val="center"/>
          </w:tcPr>
          <w:p w14:paraId="34B8804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6595ABC8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39EBF372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BE72373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D47ADBF" w14:textId="77777777" w:rsidR="007B59FB" w:rsidRPr="00A94CF6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* Bildiri özetinizi Form-5 ile aynı dosyada kongre mail adresine gönderiniz.</w:t>
      </w:r>
    </w:p>
    <w:p w14:paraId="21E1505B" w14:textId="77777777" w:rsidR="007B59FB" w:rsidRPr="00A94CF6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BD46FF9" w14:textId="77777777" w:rsidR="007B59FB" w:rsidRPr="00A94CF6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FD89725" w14:textId="77777777" w:rsidR="007B59FB" w:rsidRPr="00180841" w:rsidRDefault="007B59FB" w:rsidP="007B59FB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180841">
        <w:rPr>
          <w:rFonts w:ascii="Times New Roman" w:hAnsi="Times New Roman" w:cs="Times New Roman"/>
          <w:b/>
          <w:color w:val="FF0000"/>
          <w:sz w:val="16"/>
          <w:szCs w:val="16"/>
        </w:rPr>
        <w:t>* İNGİLİZCE ÖZET ZORUNLUDUR</w:t>
      </w:r>
    </w:p>
    <w:p w14:paraId="332B51AA" w14:textId="77777777" w:rsidR="007B59FB" w:rsidRDefault="007B59FB" w:rsidP="007B5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*Bildiriler en fazla 5 yazarlı olması gerekmektedir. 5’ten fazla yazarlı çalışmalar değerlendirmeye alınmayacaktır.</w:t>
      </w:r>
    </w:p>
    <w:p w14:paraId="1FE8BDE7" w14:textId="77777777" w:rsidR="007B59FB" w:rsidRDefault="007B59FB" w:rsidP="007B5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*Bildirinin İngilizce </w:t>
      </w:r>
      <w:proofErr w:type="spellStart"/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abstractı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(başlık dahi) zorunludur. </w:t>
      </w:r>
    </w:p>
    <w:p w14:paraId="3ECA03E9" w14:textId="77777777" w:rsidR="007B59FB" w:rsidRDefault="007B59FB" w:rsidP="007B5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*ORCID numaranız yoksa aşağıdaki linkten kaydolarak elde edebilirsiniz.</w:t>
      </w:r>
    </w:p>
    <w:p w14:paraId="6704D5F0" w14:textId="77777777" w:rsidR="007B59FB" w:rsidRPr="00A94CF6" w:rsidRDefault="007B59FB" w:rsidP="007B5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26061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https://orcid.org/</w:t>
      </w:r>
    </w:p>
    <w:p w14:paraId="3F903F4A" w14:textId="77777777" w:rsidR="007B59FB" w:rsidRDefault="007B59FB" w:rsidP="007B5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D8D154" w14:textId="77777777" w:rsidR="007B59FB" w:rsidRDefault="007B59FB" w:rsidP="007B59FB">
      <w:pPr>
        <w:spacing w:after="0" w:line="30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  <w:sectPr w:rsidR="007B59FB" w:rsidSect="002001D8">
          <w:headerReference w:type="default" r:id="rId9"/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67E33604" w14:textId="77777777" w:rsidR="007B59FB" w:rsidRDefault="007B59FB" w:rsidP="007B59FB">
      <w:pPr>
        <w:spacing w:after="0" w:line="30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FORM-5</w:t>
      </w:r>
    </w:p>
    <w:p w14:paraId="129C21A1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2DFBA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p w14:paraId="710DABEC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897645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r w:rsidRPr="00180841">
        <w:rPr>
          <w:rFonts w:ascii="Times New Roman" w:hAnsi="Times New Roman" w:cs="Times New Roman"/>
          <w:b/>
          <w:bCs/>
          <w:color w:val="FF0000"/>
          <w:sz w:val="20"/>
          <w:szCs w:val="18"/>
        </w:rPr>
        <w:t>(THIS FIELD IS MANDATORY)</w:t>
      </w:r>
    </w:p>
    <w:p w14:paraId="188B0086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279FC4C9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374D1E06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D3258">
        <w:rPr>
          <w:rFonts w:ascii="Times New Roman" w:hAnsi="Times New Roman" w:cs="Times New Roman"/>
          <w:b/>
          <w:bCs/>
          <w:color w:val="FF0000"/>
          <w:sz w:val="18"/>
          <w:szCs w:val="18"/>
        </w:rPr>
        <w:t>SPECIFY THE NAME OF THE CONGRESS YOU WANT TO ATTEND</w:t>
      </w:r>
    </w:p>
    <w:p w14:paraId="24859F34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…………………………………..</w:t>
      </w:r>
      <w:proofErr w:type="gramEnd"/>
    </w:p>
    <w:p w14:paraId="35394B42" w14:textId="77777777" w:rsidR="007B59FB" w:rsidRPr="00180841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7208F3BF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Style w:val="TabloKlavuzu"/>
        <w:tblW w:w="16302" w:type="dxa"/>
        <w:tblInd w:w="-601" w:type="dxa"/>
        <w:tblLook w:val="04A0" w:firstRow="1" w:lastRow="0" w:firstColumn="1" w:lastColumn="0" w:noHBand="0" w:noVBand="1"/>
      </w:tblPr>
      <w:tblGrid>
        <w:gridCol w:w="1705"/>
        <w:gridCol w:w="1699"/>
        <w:gridCol w:w="335"/>
        <w:gridCol w:w="1999"/>
        <w:gridCol w:w="2354"/>
        <w:gridCol w:w="1268"/>
        <w:gridCol w:w="2151"/>
        <w:gridCol w:w="1474"/>
        <w:gridCol w:w="1544"/>
        <w:gridCol w:w="1773"/>
      </w:tblGrid>
      <w:tr w:rsidR="007B59FB" w:rsidRPr="003446FD" w14:paraId="6431EDA4" w14:textId="77777777" w:rsidTr="00797A7A">
        <w:trPr>
          <w:trHeight w:val="864"/>
        </w:trPr>
        <w:tc>
          <w:tcPr>
            <w:tcW w:w="1705" w:type="dxa"/>
            <w:vAlign w:val="center"/>
          </w:tcPr>
          <w:p w14:paraId="5C7BDF3F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ITLE OF THE PAPER / TURKISH</w:t>
            </w:r>
          </w:p>
        </w:tc>
        <w:tc>
          <w:tcPr>
            <w:tcW w:w="1699" w:type="dxa"/>
            <w:vAlign w:val="center"/>
          </w:tcPr>
          <w:p w14:paraId="17304D47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THE PAPER / ENGLISH</w:t>
            </w:r>
          </w:p>
        </w:tc>
        <w:tc>
          <w:tcPr>
            <w:tcW w:w="2334" w:type="dxa"/>
            <w:gridSpan w:val="2"/>
            <w:vAlign w:val="center"/>
          </w:tcPr>
          <w:p w14:paraId="33116B05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SURNAME</w:t>
            </w:r>
          </w:p>
        </w:tc>
        <w:tc>
          <w:tcPr>
            <w:tcW w:w="2354" w:type="dxa"/>
            <w:vAlign w:val="center"/>
          </w:tcPr>
          <w:p w14:paraId="3E436A92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UNIVERSITY, FACULTY, DEPARTMENT</w:t>
            </w:r>
          </w:p>
        </w:tc>
        <w:tc>
          <w:tcPr>
            <w:tcW w:w="1268" w:type="dxa"/>
            <w:vAlign w:val="center"/>
          </w:tcPr>
          <w:p w14:paraId="3B5C2F04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606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FIELD OF EXPERTISE</w:t>
            </w:r>
          </w:p>
        </w:tc>
        <w:tc>
          <w:tcPr>
            <w:tcW w:w="2151" w:type="dxa"/>
            <w:vAlign w:val="center"/>
          </w:tcPr>
          <w:p w14:paraId="5A848D56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E-MAIL</w:t>
            </w:r>
          </w:p>
          <w:p w14:paraId="2A2EF0C3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474" w:type="dxa"/>
            <w:vAlign w:val="center"/>
          </w:tcPr>
          <w:p w14:paraId="65D73E7B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MOBILE TELEPHONE NUMBERS</w:t>
            </w:r>
          </w:p>
        </w:tc>
        <w:tc>
          <w:tcPr>
            <w:tcW w:w="1544" w:type="dxa"/>
            <w:vAlign w:val="center"/>
          </w:tcPr>
          <w:p w14:paraId="0D84E621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CITY AND COUNTRY</w:t>
            </w:r>
          </w:p>
        </w:tc>
        <w:tc>
          <w:tcPr>
            <w:tcW w:w="1773" w:type="dxa"/>
            <w:vAlign w:val="center"/>
          </w:tcPr>
          <w:p w14:paraId="3E7D339D" w14:textId="77777777" w:rsidR="007B59FB" w:rsidRPr="001D29AB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ORCID ID</w:t>
            </w:r>
          </w:p>
        </w:tc>
      </w:tr>
      <w:tr w:rsidR="007B59FB" w:rsidRPr="003446FD" w14:paraId="47CC8F78" w14:textId="77777777" w:rsidTr="00797A7A">
        <w:trPr>
          <w:trHeight w:val="407"/>
        </w:trPr>
        <w:tc>
          <w:tcPr>
            <w:tcW w:w="1705" w:type="dxa"/>
            <w:vMerge w:val="restart"/>
            <w:vAlign w:val="center"/>
          </w:tcPr>
          <w:p w14:paraId="6A76A41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HİDROKORTİZON OVER NEKROZUNU VE ENFLAMASYONU AZALTARAK TRANSPLANTE EDİLMİŞ RAT OVER HİSTOMORFOLOJİSİNİ İYİLEŞTİREBİLİR</w:t>
            </w:r>
          </w:p>
        </w:tc>
        <w:tc>
          <w:tcPr>
            <w:tcW w:w="1699" w:type="dxa"/>
            <w:vMerge w:val="restart"/>
            <w:vAlign w:val="center"/>
          </w:tcPr>
          <w:p w14:paraId="6481D554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HYDROCORTISONE CAN IMPROVE THE HISTOMORPHOLOGY OF TRANSPLATED RAT OVARIES THROUGH REDUCING OVARIAN NECROSIS AND INFLAMMATION</w:t>
            </w:r>
          </w:p>
        </w:tc>
        <w:tc>
          <w:tcPr>
            <w:tcW w:w="335" w:type="dxa"/>
            <w:vAlign w:val="center"/>
          </w:tcPr>
          <w:p w14:paraId="63E1E29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999" w:type="dxa"/>
            <w:vAlign w:val="center"/>
          </w:tcPr>
          <w:p w14:paraId="6BBE83FC" w14:textId="1DA13C8F" w:rsidR="007B59FB" w:rsidRPr="00AE0C96" w:rsidRDefault="007B59FB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Ph.D</w:t>
            </w:r>
            <w:proofErr w:type="spellEnd"/>
            <w:proofErr w:type="gram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.,</w:t>
            </w:r>
            <w:proofErr w:type="gram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Merve KIDIRYÜZ</w:t>
            </w:r>
          </w:p>
        </w:tc>
        <w:tc>
          <w:tcPr>
            <w:tcW w:w="2354" w:type="dxa"/>
            <w:vAlign w:val="center"/>
          </w:tcPr>
          <w:p w14:paraId="06DA3F2E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Sciences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Hamidiye International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Faculty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Medicine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Department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and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Embryology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268" w:type="dxa"/>
            <w:vAlign w:val="center"/>
          </w:tcPr>
          <w:p w14:paraId="7DB6791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Embryology</w:t>
            </w:r>
            <w:proofErr w:type="spellEnd"/>
          </w:p>
        </w:tc>
        <w:tc>
          <w:tcPr>
            <w:tcW w:w="2151" w:type="dxa"/>
            <w:vAlign w:val="center"/>
          </w:tcPr>
          <w:p w14:paraId="5C5035B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izdascon@gmail.com</w:t>
            </w:r>
          </w:p>
        </w:tc>
        <w:tc>
          <w:tcPr>
            <w:tcW w:w="1474" w:type="dxa"/>
            <w:vAlign w:val="center"/>
          </w:tcPr>
          <w:p w14:paraId="0C2A20C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47381D9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773" w:type="dxa"/>
            <w:vAlign w:val="center"/>
          </w:tcPr>
          <w:p w14:paraId="4ED4765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3446FD" w14:paraId="0D589A7D" w14:textId="77777777" w:rsidTr="00797A7A">
        <w:trPr>
          <w:trHeight w:val="407"/>
        </w:trPr>
        <w:tc>
          <w:tcPr>
            <w:tcW w:w="1705" w:type="dxa"/>
            <w:vMerge/>
            <w:vAlign w:val="center"/>
          </w:tcPr>
          <w:p w14:paraId="0DA8BA5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1D01B450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656F1B94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999" w:type="dxa"/>
            <w:vAlign w:val="center"/>
          </w:tcPr>
          <w:p w14:paraId="7281F7A5" w14:textId="4B18BAB0" w:rsidR="007B59FB" w:rsidRPr="00AE0C96" w:rsidRDefault="007B59FB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Assoc</w:t>
            </w:r>
            <w:proofErr w:type="spellEnd"/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. Prof. Dr.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Samet KUŞKIRAN</w:t>
            </w:r>
          </w:p>
        </w:tc>
        <w:tc>
          <w:tcPr>
            <w:tcW w:w="2354" w:type="dxa"/>
            <w:vAlign w:val="center"/>
          </w:tcPr>
          <w:p w14:paraId="7F0670F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Sciences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Hamidiye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Faculty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Medicine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Department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and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Embryology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268" w:type="dxa"/>
            <w:vAlign w:val="center"/>
          </w:tcPr>
          <w:p w14:paraId="3527E56E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Embryology</w:t>
            </w:r>
            <w:proofErr w:type="spellEnd"/>
          </w:p>
        </w:tc>
        <w:tc>
          <w:tcPr>
            <w:tcW w:w="2151" w:type="dxa"/>
            <w:vAlign w:val="center"/>
          </w:tcPr>
          <w:p w14:paraId="56998DFE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pariskongresi@gmail.com</w:t>
            </w:r>
          </w:p>
        </w:tc>
        <w:tc>
          <w:tcPr>
            <w:tcW w:w="1474" w:type="dxa"/>
            <w:vAlign w:val="center"/>
          </w:tcPr>
          <w:p w14:paraId="5BE92BB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1B3F725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773" w:type="dxa"/>
            <w:vAlign w:val="center"/>
          </w:tcPr>
          <w:p w14:paraId="6C12191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3446FD" w14:paraId="1A364910" w14:textId="77777777" w:rsidTr="00797A7A">
        <w:trPr>
          <w:trHeight w:val="407"/>
        </w:trPr>
        <w:tc>
          <w:tcPr>
            <w:tcW w:w="1705" w:type="dxa"/>
            <w:vMerge/>
            <w:vAlign w:val="center"/>
          </w:tcPr>
          <w:p w14:paraId="1B2B63E3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6AA3B0F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24C8C1BC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999" w:type="dxa"/>
            <w:vAlign w:val="center"/>
          </w:tcPr>
          <w:p w14:paraId="44BD0025" w14:textId="1D6A59A3" w:rsidR="007B59FB" w:rsidRPr="00AE0C96" w:rsidRDefault="007B59FB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Prof. Dr. </w:t>
            </w:r>
            <w:r w:rsidR="00DE6F9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Atabek MEVLANA</w:t>
            </w:r>
          </w:p>
        </w:tc>
        <w:tc>
          <w:tcPr>
            <w:tcW w:w="2354" w:type="dxa"/>
            <w:vAlign w:val="center"/>
          </w:tcPr>
          <w:p w14:paraId="21BB63C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College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Medicine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Department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Clinical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Sciences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United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Arab</w:t>
            </w:r>
            <w:proofErr w:type="spell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Emirates</w:t>
            </w:r>
            <w:proofErr w:type="spellEnd"/>
          </w:p>
        </w:tc>
        <w:tc>
          <w:tcPr>
            <w:tcW w:w="1268" w:type="dxa"/>
            <w:vAlign w:val="center"/>
          </w:tcPr>
          <w:p w14:paraId="2CEFCF6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Sciences</w:t>
            </w:r>
            <w:proofErr w:type="spellEnd"/>
          </w:p>
        </w:tc>
        <w:tc>
          <w:tcPr>
            <w:tcW w:w="2151" w:type="dxa"/>
            <w:vAlign w:val="center"/>
          </w:tcPr>
          <w:p w14:paraId="06F4F498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contact@blackseacountries.org</w:t>
            </w:r>
          </w:p>
        </w:tc>
        <w:tc>
          <w:tcPr>
            <w:tcW w:w="1474" w:type="dxa"/>
            <w:vAlign w:val="center"/>
          </w:tcPr>
          <w:p w14:paraId="7E5831F3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44" w:type="dxa"/>
            <w:vAlign w:val="center"/>
          </w:tcPr>
          <w:p w14:paraId="1881231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Sharjah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United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Arab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Emirates</w:t>
            </w:r>
            <w:proofErr w:type="spellEnd"/>
          </w:p>
        </w:tc>
        <w:tc>
          <w:tcPr>
            <w:tcW w:w="1773" w:type="dxa"/>
            <w:vAlign w:val="center"/>
          </w:tcPr>
          <w:p w14:paraId="2D2C5E9C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B59FB" w:rsidRPr="003446FD" w14:paraId="281D737E" w14:textId="77777777" w:rsidTr="00797A7A">
        <w:trPr>
          <w:trHeight w:val="407"/>
        </w:trPr>
        <w:tc>
          <w:tcPr>
            <w:tcW w:w="1705" w:type="dxa"/>
            <w:vMerge/>
            <w:vAlign w:val="center"/>
          </w:tcPr>
          <w:p w14:paraId="2F9D9BBE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4C6C92F4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7C4E66B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999" w:type="dxa"/>
            <w:vAlign w:val="center"/>
          </w:tcPr>
          <w:p w14:paraId="66C67C26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54" w:type="dxa"/>
            <w:vAlign w:val="center"/>
          </w:tcPr>
          <w:p w14:paraId="6795B4B7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14:paraId="7542B46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51" w:type="dxa"/>
            <w:vAlign w:val="center"/>
          </w:tcPr>
          <w:p w14:paraId="1B10EC0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733AA89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44" w:type="dxa"/>
            <w:vAlign w:val="center"/>
          </w:tcPr>
          <w:p w14:paraId="2C61CA73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14:paraId="3EA0565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B59FB" w:rsidRPr="003446FD" w14:paraId="0B5DE171" w14:textId="77777777" w:rsidTr="00797A7A">
        <w:trPr>
          <w:trHeight w:val="407"/>
        </w:trPr>
        <w:tc>
          <w:tcPr>
            <w:tcW w:w="1705" w:type="dxa"/>
            <w:vMerge/>
            <w:vAlign w:val="center"/>
          </w:tcPr>
          <w:p w14:paraId="0CE4767A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14:paraId="33A1E7A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14:paraId="654100DB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999" w:type="dxa"/>
            <w:vAlign w:val="center"/>
          </w:tcPr>
          <w:p w14:paraId="09CAAFD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54" w:type="dxa"/>
            <w:vAlign w:val="center"/>
          </w:tcPr>
          <w:p w14:paraId="3FC7D21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14:paraId="6FD3D582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51" w:type="dxa"/>
            <w:vAlign w:val="center"/>
          </w:tcPr>
          <w:p w14:paraId="2CB2C08F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6091E9D1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44" w:type="dxa"/>
            <w:vAlign w:val="center"/>
          </w:tcPr>
          <w:p w14:paraId="58C3D5C9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14:paraId="6BED5835" w14:textId="77777777" w:rsidR="007B59FB" w:rsidRPr="00AE0C96" w:rsidRDefault="007B59FB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2B9E6D04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77C8F86F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73EFAD30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4CD3F5CF" w14:textId="77777777" w:rsidR="007B59FB" w:rsidRPr="0076347E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*</w:t>
      </w:r>
      <w:r w:rsidRPr="0076347E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Submit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your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abstract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in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the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same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file as Form-5.</w:t>
      </w:r>
    </w:p>
    <w:p w14:paraId="7A89EB46" w14:textId="77777777" w:rsidR="007B59FB" w:rsidRPr="0076347E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1813DDE9" w14:textId="77777777" w:rsidR="007B59FB" w:rsidRPr="0076347E" w:rsidRDefault="007B59FB" w:rsidP="007B59FB">
      <w:pPr>
        <w:spacing w:after="0" w:line="300" w:lineRule="auto"/>
        <w:rPr>
          <w:rFonts w:ascii="Times New Roman" w:hAnsi="Times New Roman" w:cs="Times New Roman"/>
          <w:b/>
          <w:sz w:val="16"/>
          <w:szCs w:val="16"/>
        </w:rPr>
      </w:pPr>
      <w:r w:rsidRPr="0076347E">
        <w:rPr>
          <w:rFonts w:ascii="Times New Roman" w:hAnsi="Times New Roman" w:cs="Times New Roman"/>
          <w:b/>
          <w:sz w:val="16"/>
          <w:szCs w:val="16"/>
        </w:rPr>
        <w:t xml:space="preserve">*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Papers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must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have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maximum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of 5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authors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Studies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with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more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than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5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authors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will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not be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evaluated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by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scientific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committee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>.</w:t>
      </w:r>
    </w:p>
    <w:p w14:paraId="4D34E253" w14:textId="77777777" w:rsidR="007B59FB" w:rsidRDefault="007B59FB" w:rsidP="007B59FB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2DDFFFC5" w14:textId="77777777" w:rsidR="00180841" w:rsidRDefault="00180841" w:rsidP="00180841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D4">
        <w:rPr>
          <w:rFonts w:ascii="Times New Roman" w:hAnsi="Times New Roman" w:cs="Times New Roman"/>
          <w:b/>
          <w:sz w:val="24"/>
          <w:szCs w:val="24"/>
        </w:rPr>
        <w:lastRenderedPageBreak/>
        <w:t>HYDROCORTISONE CAN IMPROVE THE HISTOMORPHOLOGY OF TRANSPLATED RAT OVARIES THROUGH REDUCING OVARIAN NECROSIS AND INFLAMMATION</w:t>
      </w:r>
    </w:p>
    <w:p w14:paraId="05640628" w14:textId="77777777" w:rsidR="00180841" w:rsidRPr="005C0CD4" w:rsidRDefault="00180841" w:rsidP="0018084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CDAFC" w14:textId="566E671D" w:rsidR="00180841" w:rsidRPr="00160401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Merve KIDIRYÜZ</w:t>
      </w:r>
      <w:r w:rsidR="00180841"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4479E710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International Faculty of Medicine, Department of Histology and Embryology, Istanbul, Turkey</w:t>
      </w:r>
    </w:p>
    <w:p w14:paraId="505C2E0E" w14:textId="10380E49" w:rsidR="00180841" w:rsidRPr="00160401" w:rsidRDefault="00180841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0000-0000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</w:p>
    <w:p w14:paraId="7B5FA09B" w14:textId="0258BB60" w:rsidR="00180841" w:rsidRPr="00160401" w:rsidRDefault="00DE6F93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izdascon@gmail.com</w:t>
      </w:r>
      <w:r w:rsidR="00180841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="00180841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1EA14C21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CF23E2B" w14:textId="26658DA9" w:rsidR="00180841" w:rsidRPr="00160401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Samet KUŞKIRAN</w:t>
      </w:r>
      <w:r w:rsidR="00180841"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6447C997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Faculty of Medicine, Department of Histology and Embryology, Istanbul, Turkey</w:t>
      </w: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16B8707" w14:textId="0964407F" w:rsidR="00DE6F93" w:rsidRPr="00DE6F93" w:rsidRDefault="00180841" w:rsidP="00DE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F93">
        <w:rPr>
          <w:rFonts w:ascii="Times New Roman" w:hAnsi="Times New Roman" w:cs="Times New Roman"/>
          <w:sz w:val="24"/>
          <w:szCs w:val="24"/>
        </w:rPr>
        <w:t>2</w:t>
      </w:r>
      <w:r w:rsidR="00DE6F93" w:rsidRPr="00DE6F93">
        <w:rPr>
          <w:rFonts w:ascii="Times New Roman" w:hAnsi="Times New Roman" w:cs="Times New Roman"/>
          <w:sz w:val="24"/>
          <w:szCs w:val="24"/>
        </w:rPr>
        <w:t xml:space="preserve"> </w:t>
      </w:r>
      <w:r w:rsidR="00DE6F93" w:rsidRPr="00DE6F93">
        <w:rPr>
          <w:rFonts w:ascii="Times New Roman" w:hAnsi="Times New Roman" w:cs="Times New Roman"/>
          <w:sz w:val="24"/>
          <w:szCs w:val="24"/>
        </w:rPr>
        <w:t xml:space="preserve">ORCID ID: </w:t>
      </w:r>
      <w:hyperlink r:id="rId10" w:history="1">
        <w:r w:rsidR="00DE6F93" w:rsidRPr="00DE6F93">
          <w:rPr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7204B200" w14:textId="5685A452" w:rsidR="00180841" w:rsidRPr="00DE6F93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pariskongresi@gmail.com</w:t>
      </w:r>
      <w:r w:rsidR="00180841"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="00180841"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392D9D9D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604745E" w14:textId="192BCF9C" w:rsidR="00180841" w:rsidRPr="00160401" w:rsidRDefault="00DE6F93" w:rsidP="001808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Atabek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MEVLANA</w:t>
      </w:r>
      <w:r w:rsidR="00180841"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3</w:t>
      </w:r>
    </w:p>
    <w:p w14:paraId="13F0F5F2" w14:textId="77777777" w:rsidR="00180841" w:rsidRPr="00160401" w:rsidRDefault="00180841" w:rsidP="00180841">
      <w:pPr>
        <w:spacing w:after="0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val="en-US" w:eastAsia="ko-KR"/>
        </w:rPr>
        <w:t>3</w:t>
      </w: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  <w:t>University of Sharjah, College of Medicine, Department of Clinical Sciences, Sharjah, United Arab Emirates</w:t>
      </w:r>
    </w:p>
    <w:p w14:paraId="03E1CC03" w14:textId="02C49E9E" w:rsidR="00DE6F93" w:rsidRPr="00DE6F93" w:rsidRDefault="00180841" w:rsidP="00DE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F93">
        <w:rPr>
          <w:rFonts w:ascii="Times New Roman" w:hAnsi="Times New Roman" w:cs="Times New Roman"/>
          <w:sz w:val="24"/>
          <w:szCs w:val="24"/>
        </w:rPr>
        <w:t>3</w:t>
      </w:r>
      <w:r w:rsidR="00DE6F93" w:rsidRPr="00DE6F93">
        <w:rPr>
          <w:rFonts w:ascii="Times New Roman" w:hAnsi="Times New Roman" w:cs="Times New Roman"/>
          <w:sz w:val="24"/>
          <w:szCs w:val="24"/>
        </w:rPr>
        <w:t xml:space="preserve"> </w:t>
      </w:r>
      <w:r w:rsidR="00DE6F93" w:rsidRPr="00DE6F93">
        <w:rPr>
          <w:rFonts w:ascii="Times New Roman" w:hAnsi="Times New Roman" w:cs="Times New Roman"/>
          <w:sz w:val="24"/>
          <w:szCs w:val="24"/>
        </w:rPr>
        <w:t xml:space="preserve">ORCID ID: </w:t>
      </w:r>
      <w:hyperlink r:id="rId11" w:history="1">
        <w:r w:rsidR="00DE6F93" w:rsidRPr="00DE6F93">
          <w:rPr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1856295D" w14:textId="22A5B6BB" w:rsidR="00180841" w:rsidRPr="00DE6F93" w:rsidRDefault="00DE6F93" w:rsidP="00DE6F93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contact@blackseacountries.org</w:t>
      </w:r>
      <w:r w:rsidR="00180841" w:rsidRPr="00DE6F93">
        <w:rPr>
          <w:rFonts w:eastAsia="Times New Roman"/>
          <w:bCs/>
          <w:lang w:val="en-US"/>
        </w:rPr>
        <w:t xml:space="preserve">,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3C7DA63C" w14:textId="77777777" w:rsidR="00180841" w:rsidRPr="00160401" w:rsidRDefault="00180841" w:rsidP="0018084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ABSTRACT</w:t>
      </w:r>
    </w:p>
    <w:p w14:paraId="3B5F1048" w14:textId="77777777" w:rsidR="00180841" w:rsidRPr="00160401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Introduction and Purpose: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Inflammation, oxidative stress, and apoptosis are commonly acknowledged as the combined mechanisms that promote ischemic reperfusion sensitivity in transplanted ovaries, leading to organ damage.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Therefore, we hypothesized that, HC injection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before grafting could improve ovarian tissue from necrosis and inflammation.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Therefore, the objective of the present study was to assess prevention of ovarian tissue from necrosis and inflammation after fresh ovary transplantation and evaluate the effectiveness of HC.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Materials and Methods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15 adult female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Wistar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-Albino rats, which were found to be in the estrus phase by vaginal cytology follow-up, were divided into 3 groups. Group1: (n=5): Abdomen was opened, observed and closed. Group2: (n=5): Left oophorectomy was performed after abdomen was opened. Group3: (n=5): 50 mg/kg/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i.p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. HC (Group 3, n=5) was applied, before abdomen was opened and left oophorectomy was performed. In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histopathological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examinations; tissue necrosis and inflammation were evaluated in the preparations. Ordinal scale was created for the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histopathological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examinations (none=0 points, slightly present=1 point, present= 2 points, markedly present=3 points).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Kruskal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Wallis variance analysis was employed in the comparison including all groups.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Results: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The ovarian inflammation and necrosis were found to be highest in transplantation group (p&lt;0.05)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.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The comparison including all groups revealed that tissue necrosis and inflammation were unfavorably affected in HC-treated group.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Discussion and Conclusion: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current study has demonstrated that short-term pre-treatment of rats with HC before transplantation could preserve the ovarian function in terms of ovarian tissue histological evaluations.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In conclusion, application of HC before fresh whole ovary transplantation was found to be effective in controlling the formation of necrosis and inflammation in ovarian tissue in rats.</w:t>
      </w:r>
    </w:p>
    <w:p w14:paraId="490074BF" w14:textId="77777777" w:rsidR="00180841" w:rsidRPr="00592482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Key Words: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Ovary Transplantation; Hydrocortisone; Inflammation; Necrosis; Histopathology</w:t>
      </w:r>
    </w:p>
    <w:p w14:paraId="230C6734" w14:textId="77777777" w:rsidR="00180841" w:rsidRDefault="00180841" w:rsidP="00DA2E7D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80841" w:rsidSect="00DE6F93">
          <w:pgSz w:w="11906" w:h="16838"/>
          <w:pgMar w:top="1135" w:right="1417" w:bottom="1417" w:left="1417" w:header="0" w:footer="0" w:gutter="0"/>
          <w:cols w:space="708"/>
          <w:docGrid w:linePitch="360"/>
        </w:sectPr>
      </w:pPr>
    </w:p>
    <w:p w14:paraId="494558B4" w14:textId="614EB1EB" w:rsidR="006D5244" w:rsidRDefault="006D5244" w:rsidP="00DA2E7D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01">
        <w:rPr>
          <w:rFonts w:ascii="Times New Roman" w:hAnsi="Times New Roman" w:cs="Times New Roman"/>
          <w:b/>
          <w:sz w:val="24"/>
          <w:szCs w:val="24"/>
        </w:rPr>
        <w:lastRenderedPageBreak/>
        <w:t>HİDROKORTİZON OVER NEKROZUNU VE ENFLAMASYONU AZALTARAK TRANSPLANTE EDİLMİŞ RAT OVER HİSTOMORFOLOJİSİNİ İYİLEŞTİREBİLİR</w:t>
      </w:r>
    </w:p>
    <w:p w14:paraId="3916A564" w14:textId="77777777" w:rsidR="00DE6F93" w:rsidRPr="00160401" w:rsidRDefault="00DE6F93" w:rsidP="00DA2E7D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6E9FB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Merve KIDIRYÜZ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2C2B447C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International Faculty of Medicine, Department of Histology and Embryology, Istanbul, Turkey</w:t>
      </w:r>
    </w:p>
    <w:p w14:paraId="12EF1E05" w14:textId="77777777" w:rsidR="00DE6F93" w:rsidRPr="00160401" w:rsidRDefault="00DE6F93" w:rsidP="00DE6F93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0401">
        <w:rPr>
          <w:rFonts w:ascii="Times New Roman" w:hAnsi="Times New Roman" w:cs="Times New Roman"/>
          <w:sz w:val="24"/>
          <w:szCs w:val="24"/>
        </w:rPr>
        <w:t>ORCID ID: https://orcid</w:t>
      </w:r>
      <w:bookmarkStart w:id="1" w:name="_GoBack"/>
      <w:bookmarkEnd w:id="1"/>
      <w:r w:rsidRPr="00160401">
        <w:rPr>
          <w:rFonts w:ascii="Times New Roman" w:hAnsi="Times New Roman" w:cs="Times New Roman"/>
          <w:sz w:val="24"/>
          <w:szCs w:val="24"/>
        </w:rPr>
        <w:t>.org/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0000-0000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</w:p>
    <w:p w14:paraId="7A5F588A" w14:textId="77777777" w:rsidR="00DE6F93" w:rsidRPr="00160401" w:rsidRDefault="00DE6F93" w:rsidP="00DE6F93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izdascon@gmail.com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36D4A536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6D2E4DB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Samet KUŞKIRAN</w:t>
      </w:r>
      <w:r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33A2700A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Faculty of Medicine, Department of Histology and Embryology, Istanbul, Turkey</w:t>
      </w: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9B0F83C" w14:textId="77777777" w:rsidR="00DE6F93" w:rsidRPr="00DE6F93" w:rsidRDefault="00DE6F93" w:rsidP="00DE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F93">
        <w:rPr>
          <w:rFonts w:ascii="Times New Roman" w:hAnsi="Times New Roman" w:cs="Times New Roman"/>
          <w:sz w:val="24"/>
          <w:szCs w:val="24"/>
        </w:rPr>
        <w:t xml:space="preserve">2 ORCID ID: </w:t>
      </w:r>
      <w:hyperlink r:id="rId12" w:history="1">
        <w:r w:rsidRPr="00DE6F93">
          <w:rPr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15301660" w14:textId="77777777" w:rsidR="00DE6F93" w:rsidRPr="00DE6F93" w:rsidRDefault="00DE6F93" w:rsidP="00DE6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pariskongresi@gmail.com ,</w:t>
      </w:r>
      <w:proofErr w:type="gramEnd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+90 537 738 54 23</w:t>
      </w:r>
    </w:p>
    <w:p w14:paraId="70D72F06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A33E455" w14:textId="77777777" w:rsidR="00DE6F93" w:rsidRPr="00160401" w:rsidRDefault="00DE6F93" w:rsidP="00DE6F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Atabek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MEVLANA</w:t>
      </w: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3</w:t>
      </w:r>
    </w:p>
    <w:p w14:paraId="03CB3AC5" w14:textId="77777777" w:rsidR="00DE6F93" w:rsidRPr="00160401" w:rsidRDefault="00DE6F93" w:rsidP="00DE6F93">
      <w:pPr>
        <w:spacing w:after="0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</w:pP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val="en-US" w:eastAsia="ko-KR"/>
        </w:rPr>
        <w:t>3</w:t>
      </w:r>
      <w:r w:rsidRPr="0016040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val="en-US" w:eastAsia="ko-KR"/>
        </w:rPr>
        <w:t>University of Sharjah, College of Medicine, Department of Clinical Sciences, Sharjah, United Arab Emirates</w:t>
      </w:r>
    </w:p>
    <w:p w14:paraId="269A3949" w14:textId="77777777" w:rsidR="00DE6F93" w:rsidRPr="00DE6F93" w:rsidRDefault="00DE6F93" w:rsidP="00DE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F93">
        <w:rPr>
          <w:rFonts w:ascii="Times New Roman" w:hAnsi="Times New Roman" w:cs="Times New Roman"/>
          <w:sz w:val="24"/>
          <w:szCs w:val="24"/>
        </w:rPr>
        <w:t xml:space="preserve">3 ORCID ID: </w:t>
      </w:r>
      <w:hyperlink r:id="rId13" w:history="1">
        <w:r w:rsidRPr="00DE6F93">
          <w:rPr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05947552" w14:textId="77777777" w:rsidR="00DE6F93" w:rsidRPr="00DE6F93" w:rsidRDefault="00DE6F93" w:rsidP="00DE6F93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contact@blackseacountries.org</w:t>
      </w:r>
      <w:r w:rsidRPr="00DE6F93">
        <w:rPr>
          <w:rFonts w:eastAsia="Times New Roman"/>
          <w:bCs/>
          <w:lang w:val="en-US"/>
        </w:rPr>
        <w:t xml:space="preserve">,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0DA0BD6A" w14:textId="12C0B4BA" w:rsidR="00DA2E7D" w:rsidRPr="00160401" w:rsidRDefault="00DA2E7D" w:rsidP="00CB02CF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8CEE780" w14:textId="1EA07559" w:rsidR="00CB02CF" w:rsidRPr="00160401" w:rsidRDefault="00160401" w:rsidP="00160401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ÖZET</w:t>
      </w:r>
    </w:p>
    <w:p w14:paraId="68FDB3B5" w14:textId="38559D8A" w:rsidR="005C0CD4" w:rsidRPr="005C0CD4" w:rsidRDefault="00160401" w:rsidP="005C0CD4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Giriş</w:t>
      </w:r>
      <w:proofErr w:type="spellEnd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Amaç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İnflamasyon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oksidatif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stres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apoptoz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overlerde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iskemi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reperfüzyon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duyarlılığını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artıran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organ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hasarına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yol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açan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birleşik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mekanizmalar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kabul</w:t>
      </w:r>
      <w:proofErr w:type="spellEnd"/>
      <w:proofErr w:type="gram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edilmektedir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Bu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nedenle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transplantasyondan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önce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hidrokortizon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enjeksiyonunun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over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dokusunu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inflamasyondan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iyileştirebileceğini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varsaydık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Bu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nedenle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çalışmanın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amacı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taze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transplantasyonundan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dokusunun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inflamasyondan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korunmasını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değerlendirmek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HC'nin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etkinliğini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değerlendirmektir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Gereç</w:t>
      </w:r>
      <w:proofErr w:type="spellEnd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Yöntem</w:t>
      </w:r>
      <w:proofErr w:type="spellEnd"/>
      <w:r w:rsidRPr="00160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Vajinal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sitoloji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takibi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östrus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fazında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olduğu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tespit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15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yetişkin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dişi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Wistar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-Albino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</w:t>
      </w:r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gruba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ayrıldı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Grup1: (n=5): 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Abdomen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açıldı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gözlemlendi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kapatıldı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Grup2: (n=5):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Batın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açıldıktan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sol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ooferektomi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yapıldı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Grup3: (n=5): Karın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açılmadan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önce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50 mg/kg/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i.p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HC (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3, n=5)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uygulandı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sol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ooferektom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yapıldı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Histopatolojik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incelemelerde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preparatlarda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nekrozu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değerlendirildi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Histopatolojik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incelemeler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için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ordinal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skala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oluşturuldu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yok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=0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puan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hafif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=1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puan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=2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puan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belirgin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=3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puan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Tüm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grupları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içeren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karşılaştırmada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Kruskal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Wallis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varyans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analizi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kullanıldı</w:t>
      </w:r>
      <w:proofErr w:type="spellEnd"/>
      <w:r w:rsidRPr="0016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Bulgular</w:t>
      </w:r>
      <w:proofErr w:type="spellEnd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grubunda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yüksek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bulunmuştur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(p&lt;0.05)</w:t>
      </w:r>
      <w:r w:rsidR="005924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Tüm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grupları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içeren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karşılaştırma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HC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tedavi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grupta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inflamasyonun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olumsuz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etkilendiğini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ortaya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koydu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Tartışma</w:t>
      </w:r>
      <w:proofErr w:type="spellEnd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Sonuç</w:t>
      </w:r>
      <w:proofErr w:type="spellEnd"/>
      <w:r w:rsidR="005C0CD4"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Bu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çalışma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ratlarda</w:t>
      </w:r>
      <w:proofErr w:type="spellEnd"/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</w:t>
      </w:r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transplantasyondan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önce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kısa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süreli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HC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tedavisinin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over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dokusu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histolojik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değerlendirmeleri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açısından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fonksiyonunu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koruyabileceğini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göstermiştir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Sonuç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taze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bütün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öncesinde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HC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uygulamasının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ratlarda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dokusunda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inflamasyon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oluşumunu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kontrol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etmede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etkili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olduğu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bulunmuştur</w:t>
      </w:r>
      <w:proofErr w:type="spellEnd"/>
      <w:r w:rsidR="005C0CD4"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7C734D15" w14:textId="6F481278" w:rsidR="005C0CD4" w:rsidRPr="00160401" w:rsidRDefault="005C0CD4" w:rsidP="00DE6F93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Anahtar</w:t>
      </w:r>
      <w:proofErr w:type="spellEnd"/>
      <w:r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Kelimeler</w:t>
      </w:r>
      <w:proofErr w:type="spellEnd"/>
      <w:r w:rsidRPr="005C0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</w:t>
      </w:r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Transplantasyonu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Hidrokortizon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İnflamasyon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Nekroz</w:t>
      </w:r>
      <w:proofErr w:type="spellEnd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5C0C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Histopatoloji</w:t>
      </w:r>
      <w:bookmarkEnd w:id="0"/>
      <w:proofErr w:type="spellEnd"/>
    </w:p>
    <w:sectPr w:rsidR="005C0CD4" w:rsidRPr="00160401" w:rsidSect="00DE6F93">
      <w:pgSz w:w="11906" w:h="16838"/>
      <w:pgMar w:top="127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2E01" w14:textId="77777777" w:rsidR="00BE054A" w:rsidRDefault="00BE054A" w:rsidP="00974400">
      <w:pPr>
        <w:spacing w:after="0" w:line="240" w:lineRule="auto"/>
      </w:pPr>
      <w:r>
        <w:separator/>
      </w:r>
    </w:p>
  </w:endnote>
  <w:endnote w:type="continuationSeparator" w:id="0">
    <w:p w14:paraId="5A89D68D" w14:textId="77777777" w:rsidR="00BE054A" w:rsidRDefault="00BE054A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906A" w14:textId="77777777" w:rsidR="00BE054A" w:rsidRDefault="00BE054A" w:rsidP="00974400">
      <w:pPr>
        <w:spacing w:after="0" w:line="240" w:lineRule="auto"/>
      </w:pPr>
      <w:r>
        <w:separator/>
      </w:r>
    </w:p>
  </w:footnote>
  <w:footnote w:type="continuationSeparator" w:id="0">
    <w:p w14:paraId="7D7D7AA2" w14:textId="77777777" w:rsidR="00BE054A" w:rsidRDefault="00BE054A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6A37" w14:textId="77777777" w:rsidR="007B59FB" w:rsidRDefault="007B59FB" w:rsidP="003D3258">
    <w:pPr>
      <w:pStyle w:val="stbilgi"/>
      <w:jc w:val="center"/>
    </w:pPr>
  </w:p>
  <w:p w14:paraId="7C866E35" w14:textId="77777777" w:rsidR="007B59FB" w:rsidRPr="003D3258" w:rsidRDefault="007B59FB" w:rsidP="003D3258">
    <w:pPr>
      <w:pStyle w:val="stbilgi"/>
      <w:jc w:val="center"/>
      <w:rPr>
        <w:rFonts w:ascii="Times New Roman" w:hAnsi="Times New Roman" w:cs="Times New Roman"/>
        <w:sz w:val="48"/>
      </w:rPr>
    </w:pPr>
    <w:r w:rsidRPr="003D3258">
      <w:rPr>
        <w:rFonts w:ascii="Times New Roman" w:hAnsi="Times New Roman" w:cs="Times New Roman"/>
        <w:sz w:val="48"/>
      </w:rPr>
      <w:t>ZORUNLU ALAN</w:t>
    </w:r>
    <w:r>
      <w:rPr>
        <w:rFonts w:ascii="Times New Roman" w:hAnsi="Times New Roman" w:cs="Times New Roman"/>
        <w:sz w:val="48"/>
      </w:rPr>
      <w:t xml:space="preserve"> / </w:t>
    </w:r>
    <w:r w:rsidRPr="003D3258">
      <w:rPr>
        <w:rFonts w:ascii="Times New Roman" w:hAnsi="Times New Roman" w:cs="Times New Roman"/>
        <w:sz w:val="48"/>
      </w:rPr>
      <w:t>MANDATORY FIELD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2089"/>
    <w:multiLevelType w:val="hybridMultilevel"/>
    <w:tmpl w:val="4DE23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00367"/>
    <w:rsid w:val="00015EF4"/>
    <w:rsid w:val="000619E1"/>
    <w:rsid w:val="00063D59"/>
    <w:rsid w:val="000753BD"/>
    <w:rsid w:val="00090AEA"/>
    <w:rsid w:val="000E7C86"/>
    <w:rsid w:val="00135129"/>
    <w:rsid w:val="00136E76"/>
    <w:rsid w:val="00137E64"/>
    <w:rsid w:val="00141A12"/>
    <w:rsid w:val="00160401"/>
    <w:rsid w:val="00180841"/>
    <w:rsid w:val="00181250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43348"/>
    <w:rsid w:val="004838DD"/>
    <w:rsid w:val="004840F0"/>
    <w:rsid w:val="004B3216"/>
    <w:rsid w:val="004D5D6D"/>
    <w:rsid w:val="004E0072"/>
    <w:rsid w:val="004E2EF1"/>
    <w:rsid w:val="004E34ED"/>
    <w:rsid w:val="00503A0B"/>
    <w:rsid w:val="00507157"/>
    <w:rsid w:val="005308E2"/>
    <w:rsid w:val="00544D94"/>
    <w:rsid w:val="00554B00"/>
    <w:rsid w:val="005808E9"/>
    <w:rsid w:val="00592482"/>
    <w:rsid w:val="005C0CD4"/>
    <w:rsid w:val="005D3B45"/>
    <w:rsid w:val="005E0B3C"/>
    <w:rsid w:val="005E2E11"/>
    <w:rsid w:val="005F2FDC"/>
    <w:rsid w:val="005F570F"/>
    <w:rsid w:val="005F5D29"/>
    <w:rsid w:val="0066535B"/>
    <w:rsid w:val="0068669E"/>
    <w:rsid w:val="006A4FFC"/>
    <w:rsid w:val="006A6C50"/>
    <w:rsid w:val="006A7342"/>
    <w:rsid w:val="006B38FE"/>
    <w:rsid w:val="006D22DE"/>
    <w:rsid w:val="006D5244"/>
    <w:rsid w:val="006F3055"/>
    <w:rsid w:val="007063BD"/>
    <w:rsid w:val="00726298"/>
    <w:rsid w:val="007358CA"/>
    <w:rsid w:val="00745D51"/>
    <w:rsid w:val="00795BDC"/>
    <w:rsid w:val="007A0990"/>
    <w:rsid w:val="007B59FB"/>
    <w:rsid w:val="007D2320"/>
    <w:rsid w:val="007E27A0"/>
    <w:rsid w:val="007F45F2"/>
    <w:rsid w:val="008074F4"/>
    <w:rsid w:val="00866159"/>
    <w:rsid w:val="00891F4F"/>
    <w:rsid w:val="00892C27"/>
    <w:rsid w:val="008A1D38"/>
    <w:rsid w:val="008A63D6"/>
    <w:rsid w:val="008F4616"/>
    <w:rsid w:val="00913C18"/>
    <w:rsid w:val="00970B58"/>
    <w:rsid w:val="00974202"/>
    <w:rsid w:val="00974400"/>
    <w:rsid w:val="009768BC"/>
    <w:rsid w:val="00997B01"/>
    <w:rsid w:val="009A4147"/>
    <w:rsid w:val="009A71CD"/>
    <w:rsid w:val="009B34C4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681E"/>
    <w:rsid w:val="00AE7C0D"/>
    <w:rsid w:val="00AF2989"/>
    <w:rsid w:val="00AF7DD6"/>
    <w:rsid w:val="00B2071B"/>
    <w:rsid w:val="00B40467"/>
    <w:rsid w:val="00B66FA7"/>
    <w:rsid w:val="00B67DC2"/>
    <w:rsid w:val="00B80DBA"/>
    <w:rsid w:val="00B910E3"/>
    <w:rsid w:val="00BB1188"/>
    <w:rsid w:val="00BC311E"/>
    <w:rsid w:val="00BE054A"/>
    <w:rsid w:val="00BF3142"/>
    <w:rsid w:val="00C17959"/>
    <w:rsid w:val="00C4671A"/>
    <w:rsid w:val="00C57F0F"/>
    <w:rsid w:val="00C9303F"/>
    <w:rsid w:val="00CB02CF"/>
    <w:rsid w:val="00CB103F"/>
    <w:rsid w:val="00CF10AC"/>
    <w:rsid w:val="00D11398"/>
    <w:rsid w:val="00D15A0C"/>
    <w:rsid w:val="00D225A1"/>
    <w:rsid w:val="00D24D6A"/>
    <w:rsid w:val="00D36979"/>
    <w:rsid w:val="00D52EAA"/>
    <w:rsid w:val="00D9279F"/>
    <w:rsid w:val="00DA2E7D"/>
    <w:rsid w:val="00DB0DCB"/>
    <w:rsid w:val="00DC459A"/>
    <w:rsid w:val="00DE6F93"/>
    <w:rsid w:val="00DF2E9C"/>
    <w:rsid w:val="00E3244E"/>
    <w:rsid w:val="00E33652"/>
    <w:rsid w:val="00E74759"/>
    <w:rsid w:val="00EA2259"/>
    <w:rsid w:val="00F04AA8"/>
    <w:rsid w:val="00F201ED"/>
    <w:rsid w:val="00F24D4E"/>
    <w:rsid w:val="00F31C6F"/>
    <w:rsid w:val="00F600E2"/>
    <w:rsid w:val="00F762F8"/>
    <w:rsid w:val="00F876D5"/>
    <w:rsid w:val="00F95E82"/>
    <w:rsid w:val="00FA7A3A"/>
    <w:rsid w:val="00FB62B5"/>
    <w:rsid w:val="00FC5566"/>
    <w:rsid w:val="00FC6B4A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81250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0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cid.org/0000-0000-0000-00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0-0000-0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202B1-6980-4648-AB4D-C1EDED37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Microsoft hesabı</cp:lastModifiedBy>
  <cp:revision>8</cp:revision>
  <cp:lastPrinted>2019-12-27T21:28:00Z</cp:lastPrinted>
  <dcterms:created xsi:type="dcterms:W3CDTF">2023-12-05T16:57:00Z</dcterms:created>
  <dcterms:modified xsi:type="dcterms:W3CDTF">2024-02-09T20:19:00Z</dcterms:modified>
</cp:coreProperties>
</file>